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Digital Forensics Analyst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15-1299.06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Digital Forensics Analyst 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15-1299.06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3043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