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Preschool Teacher (3004HY V1) Hybrid</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3004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Teach life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Teach and foster children's growth and development as outlined in the CA Preschool Learning Foundations: Social Emotional, Language and Literacy, Mathematics, Visual and Performance Arts, Physical Development, Health, History-Social Science, Science.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Teach and model healthy habits and personal hygiene.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for basic needs of children.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respectful and responsive care to children when attending to their basic needs (e.g., feeding, dressing, and changing diapers).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Serve and participate in meals and snacks in accordance with nutritional guidelines and best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 and support children's transition as they arrive at school.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Set up classroom materials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children with a variety of developmentally appropriate activities, materials, and resources that foster growth and development in all areas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and prepare all materials, activities and learning environments.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Arrange and prepare indoor and outdoor learning environments, activities, and materials to facilitate appropriate learning activities, and ensure safety.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Establish classroom management strategies.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classroom routines and rules and implement appropriate behavior management strategies.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Modify teaching methods or materials to accommodate children's needs.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Differentiate, scaffold, and individualize instruction, activities, and materials to meet the children's varying development, needs, and interests.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Student Support Team, Individualized Family Services Plan, Individual Education Plan and Case Conference meetings to discuss each individual child's development and collaborate with other professionals to develop appropriate goals for them.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Discuss student progress with families and professionals.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children showing difficulties in any area of development and discuss concern(s) with mentor teacher, child's family, and child development specialists (Mental Health Specialist, Nurse, Nutritionist, Education and Disability Specialist,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Meet with each family to discuss their child's strengths, progress, needs, and interests to develop individual goals and priorities for the child.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families with strategies, resources, and ideas to promote learning and development at home and strengthen the school-home connection.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Plan educational activities.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developmentally appropriate learning experiences that build on what children know and understand and are individualized to accommodate different skill levels and learning styles.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and conduct activities for a balanced program of instruction, demonstration, and hands-on work that provides children with opportunities to observe, question, and investigate.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Assess and document children’s development and learning.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Assess children using the designated assessment tool that uses work samples, observations, and other authentic means to gather the necessary evidence to evaluate children's development in all domains.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assessment results to understand and plan an individual child's developmental progression and determine whether current teaching strategies are working for that child to guide adaptations and improvements in teaching practices.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170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student records.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accurate and complete student records as required by funding sources, laws, district policies, and administrative regulations.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56</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instructional objectives.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clear learning/developmental objectives for all lessons, units, and projects and document them in lesson plans.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individual goals for each child based on assessment that also incorporates the child's strengths and interests.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94</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multiple appropriate teaching methods.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multiple appropriate teaching methods and strategies to actively engage children.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370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Arrange learning environment to ensure physical safety of children.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Arrange, monitor, and maintain indoor and outdoor learning environments to ensure safety.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77</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Collaborate with other teaching professionals to develop educational programs.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Confer with other staff members to plan collaboratively to promote learning and development of all children in the center.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with other teachers and administrators in the development, evaluation, and revision of programs.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87</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Attend trainings, meetings, and committees.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professional meetings, educational conferences, and teacher training workshops to maintain and improve professional competence.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Serve on institutional or departmental committees.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staff meetings and collaboration team meetings.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Evaluate performance of educational staff.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Supervise, evaluate, and plan assignments for teacher assistants and volunteers.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Order instructional materials or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order, store, and inventory classroom equipment, materials, and supplies.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41</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Teach life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Teach and foster children's growth and development as outlined in the CA Preschool Learning Foundations: Social Emotional, Language and Literacy, Mathematics, Visual and Performance Arts, Physical Development, Health, History-Social Science, Science.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Teach and model healthy habits and personal hygiene.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for basic needs of children.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respectful and responsive care to children when attending to their basic needs (e.g., feeding, dressing, and changing diapers).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Serve and participate in meals and snacks in accordance with nutritional guidelines and best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 and support children's transition as they arrive at school.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Set up classroom materials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children with a variety of developmentally appropriate activities, materials, and resources that foster growth and development in all areas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and prepare all materials, activities and learning environments.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Arrange and prepare indoor and outdoor learning environments, activities, and materials to facilitate appropriate learning activities, and ensure safety.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Establish classroom management strategies.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classroom routines and rules and implement appropriate behavior management strategies.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Modify teaching methods or materials to accommodate children's needs.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Differentiate, scaffold, and individualize instruction, activities, and materials to meet the children's varying development, needs, and interests.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Student Support Team, Individualized Family Services Plan, Individual Education Plan and Case Conference meetings to discuss each individual child's development and collaborate with other professionals to develop appropriate goals for them.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270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Discuss student progress with families and professionals.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children showing difficulties in any area of development and discuss concern(s) with mentor teacher, child's family, and child development specialists (Mental Health Specialist, Nurse, Nutritionist, Education and Disability Specialist,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Meet with each family to discuss their child's strengths, progress, needs, and interests to develop individual goals and priorities for the child.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families with strategies, resources, and ideas to promote learning and development at home and strengthen the school-home connection.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Plan educational activities.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developmentally appropriate learning experiences that build on what children know and understand and are individualized to accommodate different skill levels and learning styles.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and conduct activities for a balanced program of instruction, demonstration, and hands-on work that provides children with opportunities to observe, question, and investigate.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Assess and document children’s development and learning.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Assess children using the designated assessment tool that uses work samples, observations, and other authentic means to gather the necessary evidence to evaluate children's development in all domains.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assessment results to understand and plan an individual child's developmental progression and determine whether current teaching strategies are working for that child to guide adaptations and improvements in teaching practices.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student records.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accurate and complete student records as required by funding sources, laws, district policies, and administrative regulations.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56</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instructional objectives.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clear learning/developmental objectives for all lessons, units, and projects and document them in lesson plans.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individual goals for each child based on assessment that also incorporates the child's strengths and interests.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multiple appropriate teaching methods.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multiple appropriate teaching methods and strategies to actively engage children.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370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Arrange learning environment to ensure physical safety of children.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Arrange, monitor, and maintain indoor and outdoor learning environments to ensure safety.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Collaborate with other teaching professionals to develop educational programs.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Confer with other staff members to plan collaboratively to promote learning and development of all children in the center.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with other teachers and administrators in the development, evaluation, and revision of programs.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87</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Attend trainings, meetings, and committees.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professional meetings, educational conferences, and teacher training workshops to maintain and improve professional competence.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Serve on institutional or departmental committees.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staff meetings and collaboration team meetings.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Evaluate performance of educational staff.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Supervise, evaluate, and plan assignments for teacher assistants and volunteers.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Order instructional materials or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order, store, and inventory classroom equipment, materials, and supplies.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66</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62</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2.4K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Preschool Teacher (3004HY V1) Hybrid</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3004</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