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STEAMFITTER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Steam heating systems b. Hot water heating systems c. Refrigeration systems, units and piping for same d. Air conditioning e. Oil burner and piping f. High-pressure boilers and piping g. Low-pressure boilers and piping h. Stokers i. Gas fired equipment j. Process piping, pneumatic and hydraulic piping k. The maintenance and repair of all piping, equipment and materials commonly considered the work of the steamfitter.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Steam heating systems b. Hot water heating systems c. Refrigeration systems, units, and piping for same d. Air conditioning e. Oil burner and piping f. High pressure boilers and piping, power piping g. Low-pressure boilers and piping h. Stokers i. Gas fired equipment j. Process piping, pneumatic and hydraulic piping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tools and materials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Shop procedures b. Use and maintenance of tools and equipment c. Job orders, plans and blueprints d. Erection and use of scaffolds, ladders e. Knowledge and use of materials f. Size and capacity of pipe g. Rigging and hoisting h. Safety measures and first-aid i. Testing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and maintenance of temperature control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heat exchange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Cast iron radiators all types b. Convectors all types c. Baseboard radiation d. Unit heaters, unit ventilators e. Radiant heating f. Converters g. Condensers h. Circulating pumps i. Condensate pumps j. Feed water heaters k. Blast coils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Oxy-acetylene cutting and welding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 welding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STEAMFITTER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Other (specify): Training Trust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