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Direct Support Professional - Registration Level</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21-1093.00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1040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Registration Level</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apprentice, support from skills mentor, employer, or supervisor will gain a basic understanding, knowledge, skills and attitudes related to the role of the direct support professional, the organization’s mission, vision, and core values, and the expectations for a safe, healthy, ethical, and supportive work environment, and the importance of observing, recording, and monitoring of key participant, staff, and organizational events, activities, and accomplishments. The employer can support this orientation and foundational learning by the apprentice by using the following competencies: Participant Empowerment, Advocacy, Documentation, Providing Person-Centered Supports, and Supporting Health and Wellness.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0</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