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Industrial Painter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Protect structures or surfaces near work areas to avoid damage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Cover surfaces with dropcloths or masking tape and paper to protect surfaces during painting. Remove fixtures such as pictures, door knobs, lamps, or electric switch covers prior to painting.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material to fill gaps in surfaces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Fill cracks, holes, or joints with caulk, putty, plaster, or other fillers, using caulking guns or putty knives.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Smooth surfaces with abrasive materials or tools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Smooth surfaces, using sandpaper, scrapers, brushes, steel wool, or sanding machines. Polish final coats to specified finishes.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blueprints or specifications to determine work requirements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Read work orders or receive instructions from supervisors or homeowners to determine work requirements.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surfaces for finishing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Apply primers or sealers to prepare new surfaces, such as bare wood or metal, for finish coats. Wash and treat surfaces with oil, turpentine, mildew remover, or other preparations, and sand rough spots to ensure that finishes will adhere properly.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paint to surfaces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Apply paint, stain, varnish, enamel, or other finishes to equipment, buildings, bridges, or other structures, using brushes, spray guns, or rollers.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temporary equipment or structures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Erect scaffolding or swing gates, or set up ladders, to work above ground level.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Mix substances or compounds needed for work activities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Mix and match colors of paint, stain, or varnish with oil or thinning and drying additives to obtain desired colors and consistencies.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Estimate construction project costs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Calculate amounts of required materials and estimate costs, based on surface measurements or work orders.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Estimate materials requirements for projects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Calculate amounts of required materials and estimate costs, based on surface measurements or work orders.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surfaces in preparation for work activities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Wash and treat surfaces with oil, turpentine, mildew remover, or other preparations, and sand rough spots to ensure that finishes will adhere properly. Remove old finishes by stripping, sanding, wire brushing, burning, or using water or abrasive blasting.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construction or extraction materials or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Select and purchase tools or finishes for surfaces to be covered, considering durability, ease of handling, methods of application, and customers' wishes.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construction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Select and purchase tools or finishes for surfaces to be covered, considering durability, ease of handling, methods of application, and customers' wishes.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sealants or other protective coatings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Waterproof buildings, using waterproofers or caulking.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decorative or textured finishes or coverings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 special finishing techniques such as sponging, ragging, layering, or faux finishing. Cut stencils and brush or spray lettering or decorations on surfaces.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carpet, vinyl or other flexible materials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Cut stencils and brush or spray lettering or decorations on surfaces.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heating or drying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Operate, clean, and maintain powder coating oven and equipment. Adjust temperatures and dry times per powder coat specifications.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4.7K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Industrial Painter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47-2141.00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Code of Safe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WORKPLACE CPR/AED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WORKPLACE CPR/AED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10</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Internal Safey Program Chapters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30</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Coating Safety Management</w:t>
              <w:br/>
              <w:t> Training eCourse (SAFÉTY)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I-III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Estimation I-II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Managment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Reinforced Concrete Corrosion eCourse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NCCER Industiral Coating &amp; Lining Specialist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Protective Coatings (C1)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Coutor the Coalings Professional ecourse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SSPC-PA 2 Effectively e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Concrete Coating Basics eCourse (CCB)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AMPP C7</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AMPP C12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Concrete Coating Applicator Specialist</w:t>
              <w:br/>
              <w:t> (CCAS)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