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MARINE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Will learn pulling ships cable, know radiuses breakout, cable banding, packing stuff tubes, packing cable transits. Properly label and identify cable tags. Identify ship’s different types of cable. Learn material names, symbols, and numbers commonly used in marine industry. Installation and hookup of telephone, PA, Fire, and CCTV systems.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&amp; read blueprints, abbreviations and symbols. Identify and install various equipment. Layout and install cable penetration in equipment. Work with temporary lighting and power aboard vessels. Set up power distribution for equipment used. Learn power cable repair, hookup switchboard control and alarm systems. Layout panel assemblies from blueprints. (w/applied safetyguidance)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Hookup AC power distribution panels. Hookup and operation of step-up and step-down transformers. Hook up and operation of AC motors and related motor control systems. Learn DC charging systems and DC power distribution. Use safety procedures for connecting and disconnecting of shore power. Learn testing procedures &amp; troubleshooting of integrated systems.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MARINE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Skagit Valley College, Sponsor Provided (lab/classroom): Dakota Creek Industries, Inc. Facilities, Other (specify): Dakota Creek Industries, Inc. Training and Vendor Training as necessary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