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Industrial Painter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51-9121.00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Hand and Tool Preparation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Chemical Cleaning, Hand sanding, Power tool Sanding, Grinding and Recognition of Surface prep standards per SSPC. </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Industrial Hand Coating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Applying Coating materials via Brush, Roller, Hand Trowel and any other method recommended by coating Manufacturer. Proper Waste Disposal*</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1.3K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Spray Painting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Set up and Coating Via Various Spray Systems,Conventional Spray Systems, HVLP System*, Airless Spray Systems, Air Assisted Airless Systems* Electrostatic Spray Systems, Flame Spray Systems and Plural Component Spray Systems*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1.7K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Abrasive Blast/Compressor</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Surface Preparation Via Abrasive Blast removal, Using various Silica Free Abrasive media Sponge Blast and Media recovery systems. Compressor maintenance and Recognition of Abrasive Blast standards per SSPC. Spent Media Recycle* </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1.2K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Water / Hydro Blast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Surface Preparation Via Water/Hydro blast removals Recognition of Water/Hydro standards per SSPC. Waste Water Recycle and Containment*</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Special Coatings and Linings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Application of Polyvinyl Sheeting *Cement products*, Fiberglass installation* and 100% solid Polyurethanes* alternatives to High VOC materials </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Quality Control / Job Set-up</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Insuring proper coating application, Proper Coating Proper material handling and storage proper waste disposal </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7.2K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Industrial Painter</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51-9121.00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Introduction to industrial Painting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Orientation and Safety; CPR/First Aid; OSHA 30</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Tools and Equipment Safety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Elevated Work Platforms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Lead Abatement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HAZMAT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Hand and Power Tool Prep</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Industrial Abrasives Blast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Rust Grade Evaluation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Ambient Condition Monitoring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Hydro Blasting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Industrial Coatings Application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Industrial Linings Application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Spray Techniques: Methods, Equipment &amp; Safety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Coating Quality Control and Quality Assurance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Blueprint Reading and Estimating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Environmental Health and Green Training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