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Magnetic Resonance Imagine Tech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29-2035.00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MRI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Screening Patients, Personnel, and Non-Personnel for MR Safe, MR Conditional, and MR Unsafe Devices and Objects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MR Safety Zones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Static Magnetic Field (e.g., Translational and Rotational Forces)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Radiofrequency Field (e.g., Thermal health [SAR], Coil Positioning, Patient Positioning, Insulation)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Gradient Magnetic Fields (e.g., Inducted Voltages, Auditory Considerations)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Communcation and Monitoring Considerations (e.g., Sedated Patients, Verbal and Visual Contact, Vital Signs)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Contrast Media Safety (e.g., NSF, Renal Function)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MRI Safety Considerations (e.g., Cryogen Safety, Fire, Medical Emergencies, Laser Alignment Lights)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MRI Quality Control Procedures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(First four procedures performed on QC Phantom)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Signal to Noise Ratio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Center Frequency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Transmitter Gain or Attentuation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Geometric Accuracy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Equipment Inspection (e.g., Coils, Cables, Door Seals)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Cryogens Levels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Room Temperature and Humidity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Specific MR Imaging Procedure Requirements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The clinical experience requirements for MRI consist of 47 procedures in six different categories. The six categories include: A. Head and Neck D. Abdomen and Pelvis B. Spine E. Musculoskeletal C. Thorax F. Additional Imaging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IACs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Pituitary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Orbits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Cranial Nerves (non IACs)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head MRA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Head MRV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 Perfusion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Brain Spectroscopy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Soft Tissue Neck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Neck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Cervical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Thoracic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Lumbar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Spinal Trauma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Sacrum-Coccyx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Sacroiliac (SI)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Brachial Plexus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Chest (Non Cardiac)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Breast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Thorax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Liver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Pancreas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MRCP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Adrenals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Kidneys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Vascular Abdomen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Female Soft Tissue Pelvis (e.g., uterus)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Male Soft Tissue Pelvis (e.g., prostate)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Temporomandibular Joints (TMJs)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Sternum/Sternoclavicular (SC) Joints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Shoulder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Long Bones (Upper Extremity)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Elbow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Finger/Thumb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Bony Pelvis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Long Bones (Lower Extremity)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Ankle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Foot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Arthrogram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Image Post-Processing (MIP reformation, MPR, subtraction)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CINE (e.g., CSF flow study, TMJs)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Patient skills including: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evaluation of requisition and/or medical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of patient history including allergies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screening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education concerning the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care and assessment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of examination room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Standard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preparation and/or administration of contrast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MRI safety procedures and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discharge with post-procedure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and procedural skills including: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selection of optimal imaging coil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positioning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protocol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parameter selection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image display, networking, and archiving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post-processing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of procedure and patient data in appropriate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completion of acquisition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Evaluation skills including: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analysis of the image for technical quality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demonstration of correct anatomic regions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 identification on images and patient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recognition of relevant pathology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 completeness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