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Sewage disposal system f. Plumbing fixtures g. Water services and meters h. Air compressors and piping i. Sewage disposal plants, filtrate treatment, boosting stations central chlorination, chemical treatment, etc. j. Underground lines to: cooling wells, filter basins, suction basins, settling basins, aeration basins,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Sewage disposal systems f. Plumbing fixtures g. Water services and meters h. Air compressors and piping i. Sewage disposal plants, filtrate treatment, boosting stations, central chlorination, chemical treatment, etc. j. Underground lines to: cooling wells, filter basins, suction basins, settling basins, aeration basins, etc. k. The installation and repair of the following types of piping including all joining methods, configurations, and sixes thereof: (1) All plastics including fiberglass and epoxies (2) Fibrous pipe (3) Copper and brass (4) Cast iron and steel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4.7K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tools and materials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Shop procedure b. Use and maintenance of tools and equipment c. Job orders, plans and blueprints d. Erection and use of scaffolds, ladders e. Knowledge and use of materials f. Size and capacity of pipe g. Rigging and hoisting h. Safety measures and first-aid i. Testing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Lead fabrication b. Welding connected with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Other (specify): Training Trust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