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Special Education Teacher (3024CB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teacher in reinforcing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teacher guidance to identify instructional roles throughout lessons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assist teacher in collecting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weekly with MCL to determine instructional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implementation of role before setting roles for the next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expectations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conjunction with MCL, identify a student in need of an individualized behavior intervention plan, collaborate to establish and communicate expectations of the plan, collect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Managing Student Behavior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grade level collaboration and staff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conversations with MCL (outside of grade level collaborative planning) describing weekly responsibilities for roles within the classroom.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SPED staff to review an IEP for at least one student in your class/grade level prior to attending an IEP meeting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of the following SpEd offerings within your school one time during the school year: skills-based intervention, speech and language, and extended resource.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learning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backwards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of each student in your class/grade level within the first nine weeks of school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use of the at-a-glance reports with the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 eligibility meeting and the follow-up IEP meeting for that same student.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one school-level assessment per semester and collaborate with the MCL to ensure standard alignment before sharing with the grade level team during common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MCL to collect data related to the goals of the IEP of at least one student and determine the effectiveness of the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child who has been identified through multi-tiered systems of support (MTSS) through the process: consent to test through eligibility and possible IEP.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target.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clear target to the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utilizing the Explicit Direct Instruction (EDI) Observation Tool to take notes about the parts of the lesson observed.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EDI Observations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MCL to write one clear target per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co-teaching, refer back to the clear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to track MCL and determine the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plan and co-teach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the unit of study instruction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all of the clear targets for one unit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refer back to clear target throughout the entire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addition to year two, choose the most effective materials that are challenging, elicit a variety of thinking, and incorporate opportunities for blended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a minimum of two times per nine weeks, the TR/apprentice will facilitate instruction and receive feedback from MCL on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independently plan and 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receive feedback from MCL throughout the unit of study and make instructional adjustments based on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