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Ironworker Reinforcing Concrete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47-2171.00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0471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Cutting &amp; Welding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Oxyacetylene &amp; other cutting processes, welding safety,</w:t>
              <w:br/>
              <w:t>basic set­up and understanding of the shielded metal arc</w:t>
              <w:br/>
              <w:t>related processes.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Rigging and cranes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Rigging with fiber line; rigging with wire rope; rigging with chains; using rigging hardware; reeving; rigging with slings;</w:t>
              <w:br/>
              <w:t>specialized rigging; miscellaneous rigging equipment;</w:t>
              <w:br/>
              <w:t>material handling power equipment; loading and unloading trucks; lattice boom crane; tower crane; kangaroo crane; derricks; Chicago boom; overhead crane; gantry crane; and crane communications.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Post tensioned reinforcing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Principles and theories of pre­stressed concrete; principles and theories of post­tensioning; components of posttensioning systems; components of stressing equipment; tools and equipment used to install, stress, grout and finish post­tensioning systems; unloading, handling and storage of</w:t>
              <w:br/>
              <w:t>post­tensioning components; layout and installation of single strand unbonded post­tensioning systems and components; preparation, stressing and finishing of single strand unbonded post­tensioning systems; components and special requirements for encapsulated systems; layout and installation of multi­strand post­tensioning systems and components; preparation, stressing and finishing of multistrand post­tensioning systems; layout and installation of bar</w:t>
              <w:br/>
              <w:t>post­tensioning systems and components; preparation,</w:t>
              <w:br/>
              <w:t>stressing and finishing of bar post­tensioning systems;</w:t>
              <w:br/>
              <w:t>grouting of bonded post­tensioning systems; installation,</w:t>
              <w:br/>
              <w:t>stressing and finishing of post­tensioned barrier cable</w:t>
              <w:br/>
              <w:t>systems; troubleshooting and repair of post­tensioning systems and equipment on the job.</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Reinforcing concrete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History of reinforcing; manufacturing of reinforcing steel; reinforcing tools, ties and safety practices; structural forms associated with reinforcing steel; bridge and highway construction; placing reinforcing steel; bending, tagging,</w:t>
              <w:br/>
              <w:t>marking and fabricating reinforcing steel; unloading,</w:t>
              <w:br/>
              <w:t>handling and storing reinforcing steel; reading engineering and placing drawings; installing bar supports; placing reinforcing in footings; placing reinforcing in walls; placing reinforcing in columns; placing reinforcing in beams and girders; placing reinforcing in joists and slabs; highway and airport pavement; and bar splicing and mechanical couplers.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Ironworker Reinforcing Concrete</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47-2171.00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0471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Reinforcing concrete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Post tensioned reinforcing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Rigging and cranes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Cutting and Welding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Mathematics for Ironworkers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Fork lift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10-hour OSHA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Aid/CPR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