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(APEC) (3024CB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projects, and communicate these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standardized ability and achievement tests and interpret results to determine student strengths and areas of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or correspond with parents or guardians to discuss children's progress and to determine priorities and resource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through lectures, discussions, and demonstrations in one or more subjects, such as English, mathematics, or social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complete, and correct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lessons and correct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middle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students who need extra help, such as by tutoring and preparing and implementing remedial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assigned classes and show written evidence of preparation upon request of immediate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staff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such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extracurricular activities, such as clubs, student organizations, and academic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