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Sewage disposal system f. Plumbing fixtures g. Water services and meters h. Backflow assemblies i. Sewer mains, grease traps/interceptors j. Storm water drainage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Sewage disposal systems f. Plumbing fixtures g. Water services and meters h. Backflow assemblies i. Sewer mains, grease traps/ interceptors j. Storm water drainage k. The installation and repair of the following types of piping including all joining methods, configurations, and sixes thereof: (1) All plastics including fiberglass and epoxies (2) Fibrous pipe (3) Copper and brass (4) Cast iron and steel l. The installation of all piping, equipment and materials commonly used in connection with the trade within the building as allowed by Washington State Certification for PL01 Plumbers.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tools and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Testing equipment b. Use and of tools and equipment c. Job orders, plans and blueprints d. Safety measures and first-aid e. Knowledge and use of materials f. Size and capacity of pipe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Lead fabrication b. Welding connected with the trade (soldering, brazing, etc) c. The installation of all piping, equipment and materials commonly used in connection with the trade and under its jurisdiction.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Would include, but are not limited to: • OSHA 10 • CPR/First Aid • CITC Plumbing Continuing Education courses as approved by the Plumbing Licensing Department of L&amp;I, Other (CITC)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Apprenticeship Committee shall provide a four (4) hour CPR and a four (4) hour First Aid class in every year of the apprenticeship.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