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TECHNICIAN (1125V1)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ACCOUNTING TECHNICIAN (1125V1)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