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BODY REPAIRER, BUS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Paint and Preparation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Stripping paint, sanding and scuffing (Understanding uses of and types of equipment), masking and surface preparation, paint finish care and maintenance (cleaning and polishing).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Preparation and Paint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Body shop tool and equipment, familiarization and safety, prepare sheetmetal work for painting by cleaning, leveling, filling and surfacing, small body repairs, dents and parts replacement, primer and paint application, spot refinishing and blending colors (color matching), refinish entire vehicle in low VOC paints, applying decals and strips.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Component Removal and Replacement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Remove, replace and align bolt on body panels, to include: fender, doors, grills, deck lids, etc., remove and replace doorlock assemblies, window regulators, upholstery, glass and various interior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Metal and Fiber Glass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Correcting damaged sheetmetal and fiberglass, roughing and straightening damaged parts, welding, fabricating various types of metals using MIG, oxy-acetylene and plasma cutters, sheetmetal break, shear, forming equipment, etc., shrinking damaged metal, application of various body filler and resin, and urethane bumper repair.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2.6K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Major Pulling and Structure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Removal and replacing of weld-on panels, squaring and aligning completed body assembly.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Estimation and Documentation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Estimation of damage, repairs, parts and labor costs, fleet management documentation, fleet information systems, shop procedures and safety, material use and cost, material purchasing.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BODY REPAIRER, BUS</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0024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Sponsor approved online or distance learning courses (specify): State Community/Technical online college as approved by the Committee, State Community/Technical college, Other (specify): In-house training classes conducted at C-TRAN under the maintenance training program.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