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Behavioral Health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0569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Department Orientation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patient identification using two patient identifiers (patient identification during clinical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language interpretation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disability services such as sign language interpretation and resources for the deaf or blind (interpreter, ADA)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care of a patient with advanced directives/MOST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entering of medical 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how to access and use UCH Lab Test Catalog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use of staff alarm buttons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Code Gray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mandatory reporting requirements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Health Setting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Confidentiality CR Part (substance use disorder)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process for search of patient belongings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management of contraband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potential medication side effects to report to RN/LPN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use of the SBIRT/SUD,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patient rights in substance use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patient rights in the BH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symptomotology of patients at risk for substance withdrawal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therapeutic interactions and interventions for patients with substance withdrawal symptoms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skills and safety precautions associated with direct patient observation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management of group sessions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verbal de-escalation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role in Code Gray/BERT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pre and post incident briefing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therapeutic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completion of patient 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process for admission of a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process for discharge of a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unit door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verbalization of environmental risk assessment and location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addictions programs &amp;gt; Intensive Residential Treatment (IRT) &amp;gt; Partial Hospitalization Program (PHP) &amp;gt; Residential Extended Care (REC) &amp;gt; Professionals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role of spiritual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role of recovery management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role of orientation services / IOP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charge capture documentation (clinic facility charge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review of safety plans, coping skills and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tools needed to facilitate: &amp;lt; Community meetings &amp;lt; Psycho-educational groups &amp;lt; Process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use of Individualized Support Plan (ISP)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Prevention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effective hand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donning and doffing of PPE for infection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disinfectant wipes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employee exposure/injury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Device for group attendance for isolation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isolation precautions and location of appropriate PPE (contact/droplet/airborne)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Mobility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proper lifting/turning techniques to prevent injury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location and use of unit specific available injury prevention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assists with patient ambulation and transfers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John's Hopkins Highest Level of Mobility (JH-HLM)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Care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use of vital signs machine (blood pressure/pulse ox/temp)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taking Blood Pressure (automated and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checking pulse manually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measure temperature (temporal and oral)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counting respirations for one minute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specific individual and family emotional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individual culturally sensitive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individual age-specific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code status and DNR process</w:t>
              <w:br/>
              <w:t>Do Not Attempt Resuscitation (DNAR/I) Policy</w:t>
              <w:br/>
              <w:t>Adult Code Blue Emergency Resuscitation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specimen labeling and handling (acceptability &amp;amp; transport)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Acute Care Patient Care Management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dietary processes (NPO, regular, clear liquid, full liquid, mechanical or dental soft/puree, diabetic, neutropenic, gastric bypass, calorie count, fluid restriction, aspiration precautions)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Demonstrated accurate intake and output measurement and notification to RN of abnormal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process for admission of a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process for discharge of a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oxygen cylinder storage &amp;amp; management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use and location of seizure pads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verbalize appropriate use of bed alarm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and verbalize appropriate use of chair and toilet alarms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Restraints and Seclusion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monitoring and documentation of patient in bed / chair restraints or seclusion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violent patient bed / chair restraints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care of patient in bed / chair restraints and seclusion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alternatives to restraints and seclusion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physical management process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completion of patient observation checks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emergency conditions with restraint use and activation of emergency response for patient in restraints and seclusion (Regulatory compliance)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Hospital Operation and Emergency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location and proper use of patient emergency response equipment (AED, handheld resuscitation bag &amp;amp; mask, designated emergency oxygen tank)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CPR release on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role in Code Blue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role in Code Medical/RRT/MET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List any additional competencies below specific to your site that are not listed above that you would like the apprentice to become proficient in during their apprenticeship. It is not required to add additional competencies.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