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Chief of Party</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17-3031.01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care for hand tools (other than survey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care for survey hand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care for rods, chains and related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 signals, land surveying terms and definitions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Hubs, reference points and monuments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Marker Stakes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Bench marks and turning points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Measures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Calculators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care of survey instruments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care of levels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care of survey instruments and other special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Notes and sketches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Calculations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Reductions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Conversions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Maps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keeping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analysis for efficient field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First Aid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measures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Public relations and client diplomacy; professional status and ethics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Chief of Party</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17-3031.01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Calculating using math, algebra, geometry, trigonometry and coordinate geometry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 Standard First Aid, CPR, tool, roadway and jobsite safety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*Note keeping and sketching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and care of basic tools &amp;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*Methods of Subdivision, Property and Heavy Construction Work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calculators and computers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and care of survey instruments and survey equipment, including field checks and adjustments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*Maps and Plan Reading for Topographic, Subdivision, Heavy Construction and Hydrographic Surveys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calculations, conversions, reductions, quantities and use of surveying software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Public relations, survey law, ethics, and leadership as a Party Chief</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*Geodesy and Global Navigation Satellite Systems unit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Public Land Survey System, retracement, property surveys, reading and writing legal descriptions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*All survey related work on Solar Photovoltaic Installation jobsites for the Field and Construction Survey processes, may also include, but is not limited to, work on jobsites pertaining to Wind, Water, Electrical and Solar Energy.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*These topics include "green curriculum".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