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Financial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13-2099.01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hazards associated with the workplace and record and report in accordance with organizational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all workplace safety requirements at all times.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maintain all organizational security arrangements and approved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comply with all emergency procedures in accordance with organizational policy.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Analysis and Models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the efforts of multiple client engagements in a wide variety of industries with the ability to manage budget, prioritize tasks, and effectively communicate with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Regularly conduct and review financial analysis, modeling, forecasting and reporting efforts to ensure clients’ efficient financial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ETL (Extract, Transform, Load) data integration, analysis, and interpretation of data from a wide variety of sources used in financial &amp;amp; statistical analyses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models that will help drive business insight and help with decision-making for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high level of accuracy and productivity with day-to-day finance activities for a variety of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Synthesize client data into findings, then effectively communicate those findings verbally, in written communication, and with data visualizations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Create, maintain, and improve models which clearly and accurately calculate clients’ financial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customer cost analyses related to product mix and margin, recommending actions for optimization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past results, perform variance analysis (Budget vs Actuals-BvA), identify trends, and make recommendations for improvements to startups and small business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perform and review at a basic level business valuations and analysis involving proxy for value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using an (Enterprise Resource Planning (ERP) or accounting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Microsoft Office suite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Accounting and Bookkeeping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extracting data sets from various software systems and manipulating them in Excel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Reporting and Time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and maintain reporting processes for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that project milestones and goals are met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new, significant, or complex financial matters for clients.  Communicate suggestions to and discuss with management in a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track key performance metrics pertaining to business operations, competitors, benchmarking,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closely with the accounting team (internal and external) to ensure accurate financial reporting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Contribute to team effort by accomplishing requested results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meet expectations on project budgets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and build strong and trusted relationships with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timely communication with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 and Teamwork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with formal performance evaluations of yourself and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the finance management team with the implementation of new service offerings as appropriate with a fundamental understanding of the service.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trust and maintain solid relationships with teammates, employees, and vendors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Offer input into tactical and strategic decisions based on client business objectives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effective and timely inter-team and intra- team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