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VISUAL ARTS TEACHERS (K-12)</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