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Insurance Sales Agent (3068CB V1) Competency-Based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41-3021.00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3068</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Sell products or services.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Sell various types of insurance policies to businesses and individuals on behalf of insurance companies, including automobile, fire, life, property, medical and dental insurance, or specialized policies, such as marine, farm/crop, and medical malpractice.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records of sales or other business transactions.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administrative tasks, such as maintaining records and handling policy renewals.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professional relationships or networks.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Seek out new clients and develop clientele by networking to find new customers and generate lists of prospective clients.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Identify potential customers.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Seek out new clients and develop clientele by networking to find new customers and generate lists of prospective clients.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Gather customer or product information to determine customer needs.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Interview prospective clients to obtain data about their financial resources and needs, the physical condition of the person or property to be insured, and to discuss any existing coverage.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Confer with clients to obtain and provide information when claims are made on a policy.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sales or other contracts.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Contact underwriter and submit forms to obtain binder coverage.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Examine documents to verify adherence to requirements.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marketing plans or strategies.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marketing strategies to compete with other individuals or companies who sell insurance.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Calculate costs of goods or services.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Calculate premiums and establish payment method.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Process sales or other transactions.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Calculate premiums and establish payment method.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Attend events to develop professional knowledge.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meetings, seminars, and programs to learn about new products and services, learn new skills, and receive technical assistance in developing new accounts.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Study product information to acquire professional knowledge.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meetings, seminars, and programs to learn about new products and services, learn new skills, and receive technical assistance in developing new accounts.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12</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