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Magnetic Resonance Imaging (MRI)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29-2034.01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 Duties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Complete patient information; schedule patients; resolve scheduling issues; perform clerical duties; follow HIPAA guidelines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for MRI Exams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system start­up; perform QA/QC; review prior exam studies; screen non­MRI personnel; coordinate administration of patient medications; verify scan protocol; enter patient data; load power injector; administer oral contract; select coil for exam; transfer patient; resolve claustrophobic issues; start patient IV; provide patient hearing protection; ensure patient comfort.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MRI Exams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Explain MRI procedure to patient; position patient; perform IV contract injection; modify sequence parameters; perform *MRIs; monitor patient vital signs: verify image quality; identify abnormalities *See SPECIAL PROVISIONS for the requirements of MRI scans.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Post MRI Exams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Communicate finding to radiologist; provide patient education; update patient chart; release patient; transfer images to hard/soft copy; verify exam charges; prepare exam for interpretation; restore prior exams; clean scan room; reformat image date; obtain image through subtraction; perform maximum intensity projections; perform multi­planar reconstruction; perform cardiac analysis; measure region of interest; map exam data; perform spectroscopy analysis.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1.9K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Magnetic Resonance Imaging (MRI) Technologist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29-2034.01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Introduces apprentices to the MRI Modality, explore clinical applications of MRI, MRI safety and the role of an MRI technologist in a healthcare facility.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Applies the theories of magnetic resonance to their applications in the clinical setting. Basic principles of physics and instrumentation are applied to MRI.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Provide an introduction to MRI Imaging. Prepare apprentices to differentiate normal and abnormal anatomy on an image. Introduce apprentices to the type of imaging techniques used for various tests.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Prepare apprentices to analyze and provide feedback on images. Apprentices perform image critique on such areas as patient positioning, image quality, and MRI technique.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