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pumps, compressors, or generators to provide power for tools, machinery, or equipment or move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 Tagout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equipment operators to facilitate alignment, movement, or adjustment of machinery, equipment,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structural components,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site activities required of green certified construction practices, such as implementing waste management procedures, identifying materials for reuse, or installing erosion or sedimentation control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construction laborer duties at green building sites, such as renewable energy plants or wind turbine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traffic passing near, in, or around work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or specifications to determine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concrete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or finish freshly poured cement or concrete, using floats, trowels, screeds, or powered cement finishing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or maintain air monitoring or other sampling devices in confined or hazardous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construction sites to eliminate possible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equipment or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construction or extraction materials to locations where they are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to craft workers, such as carpenters, plasterers, or masons.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Raze buildings or salvage useful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dismantle forms for pouring concrete, using saws, hammers, nails, or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scrape, sand, or polish surfaces, such as concrete, marble, terrazzo, or wood flooring, using abrasive tools or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masonry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ingredients to create compounds for covering or cleaning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 up rock, asphalt, or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jackhammers or drills to break up concrete or pavement.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 concrete or other aggregate mixtures.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pack, or transport hazardous or radioactive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GPS lasers for elevation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tooling to level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