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MAINTENANCE PLUMBER/STEAMFITTER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Orientation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Safety practices b. Use and care of tools c. Material nomenclature, familiarization,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of tools, materials, etc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Blueprint reading and drawing b. Math (algebra, geometry, trigonometry, etc.) c. Arc and acetylene welding, cutting and burning d. Rigging and hoisting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Plumbing maintenance and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Shop procedure b. Use and maintenance of tools and equipment c. Job orders, plans and blueprints d. Erection and use of scaffolds, ladders e. Knowledge and use of materials f. Size and capacity of pipe g. Rigging and hoisting h. Safety measures and first-aid i. Testing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Plumbing installation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Domestic hot water systems b. Domestic cold water systems c. Soil and waste systems d. Gas piping and equipment e. Plumbing fixtures f. Water services and meters g. Lawn sprinkler systems h. Storm sewers, catch basins, and manholes i. Pneumatic vacuum cleaning systems, equipment and piping**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Steamfitter maintenance and repair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Steam heating systems b. Hot water heating systems c. Refrigeration and air conditioning systems d. Process, pneumatic and hydraulic systems e. High pressure boilers and related piping f. Low pressure boilers and related piping g. Gas fired equipment h. Oil burners and equipment**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Steamfitter</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Piping layout and fabrication b. High pressure piping systems c. Steam heating systems d. Hot water heating systems e. Process, pneumatic and hydraulic piping f. Refrigeration and air conditioning piping**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MAINTENANCE PLUMBER/STEAMFITTER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47-2152.01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State Community/Technical college, Other (specify): Training Trust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